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Social Media Manager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Détails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Social Media Manager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Communication Digitale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Responsable Communication ou Directeur Marketing Digital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Définir et piloter la stratégie de communication sur les réseaux sociaux pour accroître la visibilité et l’engagement de l’entreprise.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Élaborer et déployer la stratégie social media de l’entreprise.</w:t>
              <w:br/>
              <w:t>- Superviser la création de contenus pour les réseaux sociaux.</w:t>
              <w:br/>
              <w:t>- Analyser les performances des campagnes et optimiser les stratégies.</w:t>
              <w:br/>
              <w:t>- Gérer les partenariats avec des influenceurs et des tiers.</w:t>
              <w:br/>
              <w:t>- Assurer une veille concurrentielle et technologique sur les réseaux sociaux.</w:t>
              <w:br/>
              <w:t>- Former et encadrer les Community Managers ou stagiaires.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Expertise en gestion des réseaux sociaux et outils d’analyse.</w:t>
              <w:br/>
              <w:t>- Bonne connaissance des stratégies publicitaires sur les réseaux sociaux.</w:t>
              <w:br/>
              <w:t>- Excellentes compétences en communication et en rédaction.</w:t>
              <w:br/>
              <w:t>- Capacité à analyser les données et à ajuster les stratégies en conséquence.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Bac+4/5 en communication, marketing digital ou équivalent.</w:t>
              <w:br/>
              <w:t>- Une expérience significative en gestion de réseaux sociaux est souhaitée.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Leadership et sens stratégique.</w:t>
              <w:br/>
              <w:t>- Créativité et innovation.</w:t>
              <w:br/>
              <w:t>- Organisation et gestion des priorités.</w:t>
              <w:br/>
              <w:t>- Curiosité et capacité à anticiper les tendances.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sédentaire avec interactions fréquentes avec les équipes marketing et communication.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Selon profil et expérience, possibilité de primes ou intéressement.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Responsable Communication Digitale, Consultant en Stratégie Digitale, ou Directeur Marketing Digital.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