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Responsable administratif(ve) et financier(ère)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Responsable administratif(ve) et financier(ère)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Finance et Administration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Directeur Général ou Directeur Financier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Superviser les activités administratives, financières et comptables pour garantir la bonne gestion de l’entreprise.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Élaborer et suivre les budgets de l’entreprise.</w:t>
              <w:br/>
              <w:t>- Superviser la comptabilité générale et analytique.</w:t>
              <w:br/>
              <w:t>- Garantir la conformité des déclarations fiscales et sociales.</w:t>
              <w:br/>
              <w:t>- Mettre en place et suivre des tableaux de bord financiers.</w:t>
              <w:br/>
              <w:t>- Encadrer et animer une équipe administrative et comptable.</w:t>
              <w:br/>
              <w:t>- Participer à l’élaboration de la stratégie financière de l’entreprise.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Solides compétences en gestion financière et comptable.</w:t>
              <w:br/>
              <w:t>- Connaissance approfondie des normes légales et fiscales.</w:t>
              <w:br/>
              <w:t>- Capacité à analyser et interpréter les données financières.</w:t>
              <w:br/>
              <w:t>- Excellentes compétences managériales et organisationnelles.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Bac+4/5 en finance, gestion ou équivalent.</w:t>
              <w:br/>
              <w:t>- Expérience significative en gestion financière et administrative.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Leadership et capacité à fédérer une équipe.</w:t>
              <w:br/>
              <w:t>- Rigueur et précision.</w:t>
              <w:br/>
              <w:t>- Esprit d’analyse et vision stratégique.</w:t>
              <w:br/>
              <w:t>- Adaptabilité et proactivité.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en bureau avec des interactions régulières avec la direction et les autres départements.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Package attractif selon profil et expérience, avec primes éventuelles.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Directeur Financier, Directeur Administratif, ou Consultant en Gestion Financière.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